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63F84" w:rsidRDefault="00F61EAF" w:rsidP="00063F84">
      <w:pPr>
        <w:pStyle w:val="a3"/>
        <w:rPr>
          <w:rFonts w:ascii="Helvetica" w:hAnsi="Helvetica" w:cs="Helvetica"/>
        </w:rPr>
      </w:pPr>
      <w:r>
        <w:rPr>
          <w:rStyle w:val="a4"/>
          <w:rFonts w:ascii="Helvetica" w:eastAsiaTheme="majorEastAsia" w:hAnsi="Helvetica" w:cs="Helvetica"/>
          <w:b/>
          <w:bCs/>
        </w:rPr>
        <w:fldChar w:fldCharType="begin"/>
      </w:r>
      <w:r>
        <w:rPr>
          <w:rStyle w:val="a4"/>
          <w:rFonts w:ascii="Helvetica" w:eastAsiaTheme="majorEastAsia" w:hAnsi="Helvetica" w:cs="Helvetica"/>
          <w:b/>
          <w:bCs/>
        </w:rPr>
        <w:instrText xml:space="preserve"> HYPERLINK "http://www.consultant.ru/cabinet/stat/fd/2018-02-27/click/consultant/?dst=http%3A%2F%2Fwww.consultant.ru%2Fdocument%2Fcons_doc_LAW_291515%2F%23utm_campaign%3Dfd%26utm_source%3Dconsultant%26utm_medium%3Demail%26utm_content%3Dbody" \t "_blank" </w:instrText>
      </w:r>
      <w:r>
        <w:rPr>
          <w:rStyle w:val="a4"/>
          <w:rFonts w:ascii="Helvetica" w:eastAsiaTheme="majorEastAsia" w:hAnsi="Helvetica" w:cs="Helvetica"/>
          <w:b/>
          <w:bCs/>
        </w:rPr>
        <w:fldChar w:fldCharType="separate"/>
      </w:r>
      <w:r w:rsidR="00063F84">
        <w:rPr>
          <w:rStyle w:val="a4"/>
          <w:rFonts w:ascii="Helvetica" w:eastAsiaTheme="majorEastAsia" w:hAnsi="Helvetica" w:cs="Helvetica"/>
          <w:b/>
          <w:bCs/>
        </w:rPr>
        <w:t>&lt;Письмо&gt; ФНС России от 20.02.2018 N СД-4-3/3375@</w:t>
      </w:r>
      <w:r w:rsidR="00063F84">
        <w:rPr>
          <w:rFonts w:ascii="Helvetica" w:hAnsi="Helvetica" w:cs="Helvetica"/>
          <w:b/>
          <w:bCs/>
          <w:color w:val="0000FF"/>
          <w:u w:val="single"/>
        </w:rPr>
        <w:br/>
      </w:r>
      <w:r w:rsidR="00063F84">
        <w:rPr>
          <w:rStyle w:val="a4"/>
          <w:rFonts w:ascii="Helvetica" w:eastAsiaTheme="majorEastAsia" w:hAnsi="Helvetica" w:cs="Helvetica"/>
          <w:b/>
          <w:bCs/>
        </w:rPr>
        <w:t>"О применении положений главы 26.3 Налогового кодекса Российской Федерации"</w:t>
      </w:r>
      <w:r>
        <w:rPr>
          <w:rStyle w:val="a4"/>
          <w:rFonts w:ascii="Helvetica" w:eastAsiaTheme="majorEastAsia" w:hAnsi="Helvetica" w:cs="Helvetica"/>
          <w:b/>
          <w:bCs/>
        </w:rPr>
        <w:fldChar w:fldCharType="end"/>
      </w:r>
    </w:p>
    <w:p w:rsidR="00063F84" w:rsidRDefault="00063F84" w:rsidP="00063F84">
      <w:pPr>
        <w:pStyle w:val="revannmailrucssattributepostfix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ФНС России сообщила о порядке отражения в налоговой декларации по ЕНВД расходов по приобретению новой ККТ </w:t>
      </w:r>
    </w:p>
    <w:p w:rsidR="00063F84" w:rsidRDefault="00063F84" w:rsidP="00063F84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Индивидуальные предприниматели, применяющие ЕНВД, вправе уменьшить сумму единого налога на сумму расходов по приобретению новой контрольно-кассовой техники, с функцией передачи данных в налоговые органы. </w:t>
      </w:r>
    </w:p>
    <w:p w:rsidR="00063F84" w:rsidRDefault="00063F84" w:rsidP="00063F84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Действующая форма налоговой декларации не предусматривает возможности отражения в ней соответствующих расходов. </w:t>
      </w:r>
    </w:p>
    <w:p w:rsidR="00063F84" w:rsidRDefault="00063F84" w:rsidP="00063F84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До внесения необходимых изменений налогоплательщикам рекомендуется после уменьшения суммы исчисленного налога на сумму страховых взносов в общей сумме ЕНВД по коду строки 040 Раздела 3 декларации учитывать общую сумму расходов по приобретению ККТ, но не более 18 000 рублей на каждый экземпляр ККТ. Сумма ЕНВД, подлежащая уплате в бюджет за налоговый период по коду строки 040, не может иметь отрицательное значение. </w:t>
      </w:r>
    </w:p>
    <w:p w:rsidR="00063F84" w:rsidRDefault="00063F84" w:rsidP="00063F84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Одновременно целесообразно направлять в налоговый орган пояснительную записку с обязательным указанием в ней реквизитов по каждому экземпляру ККТ, в отношении которого применяется вычет. </w:t>
      </w:r>
    </w:p>
    <w:p w:rsidR="00063F84" w:rsidRDefault="00063F84" w:rsidP="00063F84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Рекомендуемая форма пояснительной записки приведена в приложении к настоящему письму.</w:t>
      </w:r>
    </w:p>
    <w:p w:rsidR="00C475CE" w:rsidRDefault="00C475CE" w:rsidP="00063F84">
      <w:pPr>
        <w:pStyle w:val="a3"/>
        <w:rPr>
          <w:rFonts w:ascii="Helvetica" w:hAnsi="Helvetica" w:cs="Helvetica"/>
        </w:rPr>
      </w:pPr>
    </w:p>
    <w:p w:rsidR="00C475CE" w:rsidRDefault="00F61EAF" w:rsidP="00C475CE">
      <w:pPr>
        <w:pStyle w:val="a3"/>
        <w:rPr>
          <w:rFonts w:ascii="Helvetica" w:hAnsi="Helvetica" w:cs="Helvetica"/>
        </w:rPr>
      </w:pPr>
      <w:hyperlink r:id="rId4" w:tgtFrame="_blank" w:history="1">
        <w:r w:rsidR="00C475CE">
          <w:rPr>
            <w:rStyle w:val="a4"/>
            <w:rFonts w:ascii="Helvetica" w:eastAsiaTheme="majorEastAsia" w:hAnsi="Helvetica" w:cs="Helvetica"/>
            <w:b/>
            <w:bCs/>
          </w:rPr>
          <w:t>Письмо ФНС России от 21.02.2018 N ГД-4-11/3541@</w:t>
        </w:r>
        <w:r w:rsidR="00C475CE">
          <w:rPr>
            <w:rFonts w:ascii="Helvetica" w:hAnsi="Helvetica" w:cs="Helvetica"/>
            <w:b/>
            <w:bCs/>
            <w:color w:val="0000FF"/>
            <w:u w:val="single"/>
          </w:rPr>
          <w:br/>
        </w:r>
        <w:r w:rsidR="00C475CE">
          <w:rPr>
            <w:rStyle w:val="a4"/>
            <w:rFonts w:ascii="Helvetica" w:eastAsiaTheme="majorEastAsia" w:hAnsi="Helvetica" w:cs="Helvetica"/>
            <w:b/>
            <w:bCs/>
          </w:rPr>
          <w:t>&lt;Об определении базы для исчисления страховых взносов на обязательное пенсионное страхование индивидуальными предпринимателями, применяющими упрощенную систему налогообложения&gt;</w:t>
        </w:r>
      </w:hyperlink>
    </w:p>
    <w:p w:rsidR="00C475CE" w:rsidRDefault="00C475CE" w:rsidP="00C475CE">
      <w:pPr>
        <w:pStyle w:val="revannmailrucssattributepostfix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ФНС России разъяснены вопросы исчисления с 1 января 2018 года страховых взносов на ОПС за себя индивидуальными предпринимателями, применяющими УСН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Если доход индивидуального предпринимателя 300 000 руб. и меньше, то фиксированный платеж на обязательное пенсионное страхование (ОПС) за 2018 год составляет 26 545 руб.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Если доход больше 300 000 руб., необходимо с суммы превышения дополнительно уплатить 1,0%. При этом размер страховых взносов на ОПС не может быть более восьмикратного фиксированного размера, т.е. более 212 360 рублей (26 545 руб. x 8).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Относительно определения дохода ИП сообщено следующее.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Для плательщиков, применяющих УСН, доход учитывается в соответствии со статьей 346.15 НК РФ. Иными словами, величиной дохода является сумма </w:t>
      </w:r>
      <w:r>
        <w:rPr>
          <w:rFonts w:ascii="Helvetica" w:hAnsi="Helvetica" w:cs="Helvetica"/>
        </w:rPr>
        <w:lastRenderedPageBreak/>
        <w:t xml:space="preserve">фактически полученного ими дохода от осуществления предпринимательской деятельности за этот расчетный период. Расходы, предусмотренные статьей 346.16 НК РФ, в этом случае не учитываются.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Отмечено при этом, что вычет сумм расходов при определении размера страховых взносов на ОПС за соответствующий расчетный период предусмотрен только в отношении тех индивидуальных предпринимателей, которые уплачивают НДФЛ.</w:t>
      </w:r>
    </w:p>
    <w:p w:rsidR="00C475CE" w:rsidRDefault="00F61EAF" w:rsidP="00C475CE">
      <w:pPr>
        <w:pStyle w:val="a3"/>
        <w:rPr>
          <w:rFonts w:ascii="Helvetica" w:hAnsi="Helvetica" w:cs="Helvetica"/>
        </w:rPr>
      </w:pPr>
      <w:hyperlink r:id="rId5" w:tgtFrame="_blank" w:history="1">
        <w:r w:rsidR="00C475CE">
          <w:rPr>
            <w:rStyle w:val="a4"/>
            <w:rFonts w:ascii="Helvetica" w:eastAsiaTheme="majorEastAsia" w:hAnsi="Helvetica" w:cs="Helvetica"/>
            <w:b/>
            <w:bCs/>
          </w:rPr>
          <w:t>Письмо ФНС России от 26.02.2018 N ГД-4-11/3724@</w:t>
        </w:r>
        <w:r w:rsidR="00C475CE">
          <w:rPr>
            <w:rFonts w:ascii="Helvetica" w:hAnsi="Helvetica" w:cs="Helvetica"/>
            <w:b/>
            <w:bCs/>
            <w:color w:val="0000FF"/>
            <w:u w:val="single"/>
          </w:rPr>
          <w:br/>
        </w:r>
        <w:r w:rsidR="00C475CE">
          <w:rPr>
            <w:rStyle w:val="a4"/>
            <w:rFonts w:ascii="Helvetica" w:eastAsiaTheme="majorEastAsia" w:hAnsi="Helvetica" w:cs="Helvetica"/>
            <w:b/>
            <w:bCs/>
          </w:rPr>
          <w:t>"Об определении величины дохода индивидуального предпринимателя, не производящего выплаты и иные вознаграждения физическим лицам, в целях исчисления страховых взносов на обязательное пенсионное страхование при прекращении и возобновлении им предпринимательской деятельности в течение календарного года"</w:t>
        </w:r>
      </w:hyperlink>
    </w:p>
    <w:p w:rsidR="00C475CE" w:rsidRDefault="00C475CE" w:rsidP="00C475CE">
      <w:pPr>
        <w:pStyle w:val="revannmailrucssattributepostfix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Разъяснен порядок исчисления суммы страховых взносов на ОПС в отношении ИП, прекратившего деятельность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По общему правилу страховые взносы на ОПС в фиксированном размере уплачиваются в 2018 году в сумме 26 545 рублей, а в случае, если величина дохода ИП за расчетный период превышает 300 000 рублей, дополнительно уплачивается 1% с суммы превышения.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Если ИП прекращает осуществлять предпринимательскую деятельность, фиксированный размер страховых взносов определяется пропорционально количеству календарных месяцев по месяц, в котором утратила силу госрегистрация в качестве индивидуального предпринимателя.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госрегистрации прекращения деятельности в качестве ИП.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При этом отмечено, что сумма страховых взносов, исчисленная как 1% от суммы дохода, превышающего 300 000 рублей, не может считаться фиксированным размером страхового взноса, поскольку является переменной величиной.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Для исчисления этой части страховых взносов доход ИП определяется за период с начала расчетного периода до даты прекращения им предпринимательской деятельности.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В случае внесения новых сведений в реестр при приобретении физлицом вновь статуса ИП возникает новый плательщик, и, соответственно, у такого плательщика возникают новые обязанности по уплате страховых взносов.</w:t>
      </w:r>
    </w:p>
    <w:p w:rsidR="00C475CE" w:rsidRDefault="00F61EAF" w:rsidP="00C475CE">
      <w:pPr>
        <w:pStyle w:val="a3"/>
        <w:rPr>
          <w:rFonts w:ascii="Helvetica" w:hAnsi="Helvetica" w:cs="Helvetica"/>
        </w:rPr>
      </w:pPr>
      <w:hyperlink r:id="rId6" w:tgtFrame="_blank" w:history="1">
        <w:r w:rsidR="00C475CE">
          <w:rPr>
            <w:rStyle w:val="a4"/>
            <w:rFonts w:ascii="Helvetica" w:eastAsiaTheme="majorEastAsia" w:hAnsi="Helvetica" w:cs="Helvetica"/>
            <w:b/>
            <w:bCs/>
          </w:rPr>
          <w:t>&lt;Письмо&gt; Росалкогольрегулирования от 19.02.2018 N Г-1112/01-03</w:t>
        </w:r>
        <w:r w:rsidR="00C475CE">
          <w:rPr>
            <w:rFonts w:ascii="Helvetica" w:hAnsi="Helvetica" w:cs="Helvetica"/>
            <w:b/>
            <w:bCs/>
            <w:color w:val="0000FF"/>
            <w:u w:val="single"/>
          </w:rPr>
          <w:br/>
        </w:r>
        <w:r w:rsidR="00C475CE">
          <w:rPr>
            <w:rStyle w:val="a4"/>
            <w:rFonts w:ascii="Helvetica" w:eastAsiaTheme="majorEastAsia" w:hAnsi="Helvetica" w:cs="Helvetica"/>
            <w:b/>
            <w:bCs/>
          </w:rPr>
          <w:t>"О рассмотрении обращения"</w:t>
        </w:r>
      </w:hyperlink>
    </w:p>
    <w:p w:rsidR="00C475CE" w:rsidRDefault="00C475CE" w:rsidP="00C475CE">
      <w:pPr>
        <w:pStyle w:val="revannmailrucssattributepostfix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Росалкогольрегулированием разъяснен вопрос, касающийся порядка переоформления лицензии на осуществление деятельности, связанной с оборотом алкоголя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Сообщается, что в случае изменения наименования лицензиата (без его реорганизации), изменения места его нахождения или указанных в лицензии мест нахождения его обособленных подразделений, окончания срока аренды складского помещения, изменения иных указанных в лицензии сведений осуществляется переоформление лицензии на основании заявления организации, с приложением документов, подтверждающих указанные изменения или утрату лицензии.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До переоформления лицензии лицензиат или его правопреемник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ее переоформления.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Основанием для внесения изменений в сведения, содержащиеся в государственном сводном реестре лицензий, является, в том числе, переоформление лицензии.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Указанные сведения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вносятся Росалкогольрегулированием не позднее 1 рабочего дня со дня принятия решения о переоформлении лицензии. </w:t>
      </w:r>
    </w:p>
    <w:p w:rsidR="00C475CE" w:rsidRDefault="00C475CE" w:rsidP="00C475CE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При этом справочник организаций ЕГАИС в автоматическом режиме синхронизирует свои данные со сведениями Реестра. Таким образом, до синхронизации ЕГАИС с Реестром организация вправе осуществлять деятельность по лицензии, указанной в Реестре.</w:t>
      </w:r>
    </w:p>
    <w:p w:rsidR="00C475CE" w:rsidRDefault="00C475CE" w:rsidP="00063F84">
      <w:pPr>
        <w:pStyle w:val="a3"/>
        <w:rPr>
          <w:rFonts w:ascii="Helvetica" w:hAnsi="Helvetica" w:cs="Helvetica"/>
        </w:rPr>
      </w:pPr>
    </w:p>
    <w:sectPr w:rsidR="00C4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6B"/>
    <w:rsid w:val="00013423"/>
    <w:rsid w:val="00063F84"/>
    <w:rsid w:val="002672B5"/>
    <w:rsid w:val="00283BE6"/>
    <w:rsid w:val="002D078D"/>
    <w:rsid w:val="00356587"/>
    <w:rsid w:val="00433783"/>
    <w:rsid w:val="004C13C5"/>
    <w:rsid w:val="004E343D"/>
    <w:rsid w:val="00840269"/>
    <w:rsid w:val="0097065F"/>
    <w:rsid w:val="009D18EC"/>
    <w:rsid w:val="00AE7C2C"/>
    <w:rsid w:val="00B02AEF"/>
    <w:rsid w:val="00C1006B"/>
    <w:rsid w:val="00C475CE"/>
    <w:rsid w:val="00C51F8F"/>
    <w:rsid w:val="00E70D51"/>
    <w:rsid w:val="00F6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DC88-2550-4708-9EE4-27E3970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1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0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063F84"/>
    <w:rPr>
      <w:b/>
      <w:bCs/>
    </w:rPr>
  </w:style>
  <w:style w:type="paragraph" w:customStyle="1" w:styleId="revannmailrucssattributepostfix">
    <w:name w:val="rev_ann_mailru_css_attribute_postfix"/>
    <w:basedOn w:val="a"/>
    <w:rsid w:val="0006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18-02-27/click/consultant/?dst=http%3A%2F%2Fwww.consultant.ru%2Fdocument%2Fcons_doc_LAW_291416%2F%23utm_campaign%3Dfd%26utm_source%3Dconsultant%26utm_medium%3Demail%26utm_content%3Dbody" TargetMode="External"/><Relationship Id="rId5" Type="http://schemas.openxmlformats.org/officeDocument/2006/relationships/hyperlink" Target="http://www.consultant.ru/cabinet/stat/fd/2018-02-27/click/consultant/?dst=http%3A%2F%2Fwww.consultant.ru%2Fdocument%2Fcons_doc_LAW_291556%2F%23utm_campaign%3Dfd%26utm_source%3Dconsultant%26utm_medium%3Demail%26utm_content%3Dbody" TargetMode="External"/><Relationship Id="rId4" Type="http://schemas.openxmlformats.org/officeDocument/2006/relationships/hyperlink" Target="http://www.consultant.ru/cabinet/stat/fd/2018-02-27/click/consultant/?dst=http%3A%2F%2Fwww.consultant.ru%2Fdocument%2Fcons_doc_LAW_291459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Ольга Александровна</cp:lastModifiedBy>
  <cp:revision>2</cp:revision>
  <dcterms:created xsi:type="dcterms:W3CDTF">2018-07-12T10:25:00Z</dcterms:created>
  <dcterms:modified xsi:type="dcterms:W3CDTF">2018-07-12T10:25:00Z</dcterms:modified>
</cp:coreProperties>
</file>